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8D57F6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DE91CCB" w:rsidR="00774E93" w:rsidRPr="00C63419" w:rsidRDefault="00774E93" w:rsidP="00AC548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8D57F6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63729DF0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3F21F394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Počet podporených areálov materskej školy vrátane stavebno-technických úprav rôzneho druhu (napr. detské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148A441E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áno - v prípade podpory budovania </w:t>
            </w:r>
            <w:r w:rsidRPr="00774E93">
              <w:rPr>
                <w:rFonts w:asciiTheme="minorHAnsi" w:hAnsiTheme="minorHAnsi"/>
                <w:sz w:val="20"/>
              </w:rPr>
              <w:lastRenderedPageBreak/>
              <w:t>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097CAE1" w:rsidR="00774E93" w:rsidRPr="008C0112" w:rsidRDefault="00AC5481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0A4F003E" w:rsidR="00774E93" w:rsidRPr="008C0112" w:rsidRDefault="00AC5481" w:rsidP="00AC548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  <w:r w:rsidRPr="0086371B" w:rsidDel="00AC5481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0D00D5FC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r w:rsidR="00180F33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41DDA88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80F33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80F3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9303A" w14:textId="77777777" w:rsidR="006D1007" w:rsidRDefault="006D1007">
      <w:r>
        <w:separator/>
      </w:r>
    </w:p>
  </w:endnote>
  <w:endnote w:type="continuationSeparator" w:id="0">
    <w:p w14:paraId="7C89AD68" w14:textId="77777777" w:rsidR="006D1007" w:rsidRDefault="006D1007">
      <w:r>
        <w:continuationSeparator/>
      </w:r>
    </w:p>
  </w:endnote>
  <w:endnote w:type="continuationNotice" w:id="1">
    <w:p w14:paraId="33E33B84" w14:textId="77777777" w:rsidR="006D1007" w:rsidRDefault="006D10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DFC8E" w14:textId="77777777" w:rsidR="006D1007" w:rsidRDefault="006D1007">
      <w:r>
        <w:separator/>
      </w:r>
    </w:p>
  </w:footnote>
  <w:footnote w:type="continuationSeparator" w:id="0">
    <w:p w14:paraId="5DC12049" w14:textId="77777777" w:rsidR="006D1007" w:rsidRDefault="006D1007">
      <w:r>
        <w:continuationSeparator/>
      </w:r>
    </w:p>
  </w:footnote>
  <w:footnote w:type="continuationNotice" w:id="1">
    <w:p w14:paraId="0CEBB25D" w14:textId="77777777" w:rsidR="006D1007" w:rsidRDefault="006D1007"/>
  </w:footnote>
  <w:footnote w:id="2">
    <w:p w14:paraId="3B433353" w14:textId="19224F5D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0F33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A91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4178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FC5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1007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AD7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57F6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E7604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1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481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669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07BBE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3FD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1BD5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A1B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311D7"/>
    <w:rsid w:val="00077E31"/>
    <w:rsid w:val="000D0DF6"/>
    <w:rsid w:val="004248F6"/>
    <w:rsid w:val="004668C5"/>
    <w:rsid w:val="004F6F65"/>
    <w:rsid w:val="006E2383"/>
    <w:rsid w:val="007C7B7F"/>
    <w:rsid w:val="009330B6"/>
    <w:rsid w:val="00A74980"/>
    <w:rsid w:val="00B516AE"/>
    <w:rsid w:val="00B62629"/>
    <w:rsid w:val="00BF276A"/>
    <w:rsid w:val="00C31B9D"/>
    <w:rsid w:val="00C40C5F"/>
    <w:rsid w:val="00CA2517"/>
    <w:rsid w:val="00D44CE6"/>
    <w:rsid w:val="00DB3628"/>
    <w:rsid w:val="00E22C87"/>
    <w:rsid w:val="00ED207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5D49F-AAA0-4F1E-B5EC-D6331EBA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2022-10-27T08:07:00Z</dcterms:modified>
</cp:coreProperties>
</file>