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2A4178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1E0608B2" w:rsidR="00774E93" w:rsidRPr="007B6582" w:rsidRDefault="007B6582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>Miestna akčná skupina Bodva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2A4178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</w:t>
            </w:r>
            <w:bookmarkStart w:id="0" w:name="_GoBack"/>
            <w:bookmarkEnd w:id="0"/>
            <w:r w:rsidRPr="00774E93">
              <w:rPr>
                <w:rFonts w:asciiTheme="minorHAnsi" w:hAnsiTheme="minorHAnsi"/>
                <w:sz w:val="20"/>
              </w:rPr>
              <w:t>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áno - v prípade podpory budovania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0D00D5FC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r w:rsidR="00180F33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41DDA88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180F33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180F3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A381D" w14:textId="77777777" w:rsidR="002A4178" w:rsidRDefault="002A4178">
      <w:r>
        <w:separator/>
      </w:r>
    </w:p>
  </w:endnote>
  <w:endnote w:type="continuationSeparator" w:id="0">
    <w:p w14:paraId="228E4C17" w14:textId="77777777" w:rsidR="002A4178" w:rsidRDefault="002A4178">
      <w:r>
        <w:continuationSeparator/>
      </w:r>
    </w:p>
  </w:endnote>
  <w:endnote w:type="continuationNotice" w:id="1">
    <w:p w14:paraId="3C043B88" w14:textId="77777777" w:rsidR="002A4178" w:rsidRDefault="002A4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E3CC" w14:textId="77777777" w:rsidR="00CB2362" w:rsidRDefault="00CB23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6470" w14:textId="77777777" w:rsidR="00CB2362" w:rsidRDefault="00CB23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A6BA4" w14:textId="77777777" w:rsidR="00CB2362" w:rsidRDefault="00CB23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9C410" w14:textId="77777777" w:rsidR="002A4178" w:rsidRDefault="002A4178">
      <w:r>
        <w:separator/>
      </w:r>
    </w:p>
  </w:footnote>
  <w:footnote w:type="continuationSeparator" w:id="0">
    <w:p w14:paraId="2022AE04" w14:textId="77777777" w:rsidR="002A4178" w:rsidRDefault="002A4178">
      <w:r>
        <w:continuationSeparator/>
      </w:r>
    </w:p>
  </w:footnote>
  <w:footnote w:type="continuationNotice" w:id="1">
    <w:p w14:paraId="10C40D36" w14:textId="77777777" w:rsidR="002A4178" w:rsidRDefault="002A4178"/>
  </w:footnote>
  <w:footnote w:id="2">
    <w:p w14:paraId="3B433353" w14:textId="19224F5D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F6BDC" w14:textId="77777777" w:rsidR="00CB2362" w:rsidRDefault="00CB23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6869" w14:textId="77777777" w:rsidR="00CB2362" w:rsidRDefault="00CB23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78604CE4" w:rsidR="007B6582" w:rsidRPr="001F013A" w:rsidRDefault="00CB2362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172BFFD" wp14:editId="02611392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3F3506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0F33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A91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4178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A7FC5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AD7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578"/>
    <w:rsid w:val="00772ADF"/>
    <w:rsid w:val="007737D7"/>
    <w:rsid w:val="007738F7"/>
    <w:rsid w:val="00773B8D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2F83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4F1F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362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07BBE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3FD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77E31"/>
    <w:rsid w:val="000D0DF6"/>
    <w:rsid w:val="004668C5"/>
    <w:rsid w:val="004F6F65"/>
    <w:rsid w:val="006E2383"/>
    <w:rsid w:val="009330B6"/>
    <w:rsid w:val="00A74980"/>
    <w:rsid w:val="00B516AE"/>
    <w:rsid w:val="00B62629"/>
    <w:rsid w:val="00BF276A"/>
    <w:rsid w:val="00C31B9D"/>
    <w:rsid w:val="00C40C5F"/>
    <w:rsid w:val="00CA2517"/>
    <w:rsid w:val="00D44CE6"/>
    <w:rsid w:val="00DB3628"/>
    <w:rsid w:val="00E22C87"/>
    <w:rsid w:val="00ED207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9404-7BA6-43B3-A1B3-EA45CEF0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2020-01-27T14:34:00Z</dcterms:created>
  <dcterms:modified xsi:type="dcterms:W3CDTF">2022-01-18T13:02:00Z</dcterms:modified>
</cp:coreProperties>
</file>